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“携笔从戎，书生豪情”活动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right"/>
        <w:textAlignment w:val="auto"/>
        <w:rPr>
          <w:rFonts w:hint="eastAsia" w:ascii="黑体" w:hAnsi="黑体" w:eastAsia="黑体" w:cs="黑体"/>
          <w:i w:val="0"/>
          <w:iC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一、活动背景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333333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为响应国家关于高校在校生、毕业生入伍预征和就业工作的决策部署，积极鼓励引导大学生应征入伍，团结广大同学为建设高水平医科大学贡献青春力量。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二、活动目的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积极引导广大青年学子积极响应党和国家号召，发扬勇于担当、敢 于献身的精神，携笔从戎，报效国家。聚焦宣传重点，广泛宣传大学生在参军入伍、学费代偿、报考军校、服役期满就业等方面的相关政策；认真解答有关征集大学生士兵入伍的相关流程；落实征兵任务、拓宽宣传渠道、创新宣传形式，全方位、多层次开展征兵宣传教育，充分调动学生报名应征入伍的积极性，强化学生服兵役的责任感和参军保卫祖国的意识，将征兵宣传日常化、经常化、科学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6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携笔从戎，书生豪情</w:t>
      </w:r>
    </w:p>
    <w:bookmarkEnd w:id="6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四、活动对象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OLE_LINK3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山东第二医科大学2024届全日制本科毕业生。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五、活动时间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 w:cs="黑体"/>
          <w:sz w:val="32"/>
          <w:szCs w:val="32"/>
        </w:rPr>
      </w:pPr>
      <w:bookmarkStart w:id="1" w:name="OLE_LINK1"/>
      <w:r>
        <w:rPr>
          <w:rFonts w:hint="eastAsia" w:ascii="仿宋_GB2312" w:hAnsi="黑体" w:eastAsia="仿宋_GB2312" w:cs="黑体"/>
          <w:sz w:val="32"/>
          <w:szCs w:val="32"/>
        </w:rPr>
        <w:t>2</w:t>
      </w:r>
      <w:r>
        <w:rPr>
          <w:rFonts w:ascii="仿宋_GB2312" w:hAnsi="黑体" w:eastAsia="仿宋_GB2312" w:cs="黑体"/>
          <w:sz w:val="32"/>
          <w:szCs w:val="32"/>
        </w:rPr>
        <w:t>02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黑体"/>
          <w:sz w:val="32"/>
          <w:szCs w:val="32"/>
        </w:rPr>
        <w:t>年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黑体"/>
          <w:sz w:val="32"/>
          <w:szCs w:val="32"/>
        </w:rPr>
        <w:t>月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黑体"/>
          <w:sz w:val="32"/>
          <w:szCs w:val="32"/>
        </w:rPr>
        <w:t>日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-</w:t>
      </w:r>
      <w:r>
        <w:rPr>
          <w:rFonts w:hint="eastAsia" w:ascii="仿宋_GB2312" w:hAnsi="黑体" w:eastAsia="仿宋_GB2312" w:cs="黑体"/>
          <w:sz w:val="32"/>
          <w:szCs w:val="32"/>
        </w:rPr>
        <w:t>2</w:t>
      </w:r>
      <w:r>
        <w:rPr>
          <w:rFonts w:ascii="仿宋_GB2312" w:hAnsi="黑体" w:eastAsia="仿宋_GB2312" w:cs="黑体"/>
          <w:sz w:val="32"/>
          <w:szCs w:val="32"/>
        </w:rPr>
        <w:t>02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黑体"/>
          <w:sz w:val="32"/>
          <w:szCs w:val="32"/>
        </w:rPr>
        <w:t>年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黑体"/>
          <w:sz w:val="32"/>
          <w:szCs w:val="32"/>
        </w:rPr>
        <w:t>月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黑体"/>
          <w:sz w:val="32"/>
          <w:szCs w:val="32"/>
        </w:rPr>
        <w:t>日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 w:cs="黑体"/>
          <w:sz w:val="32"/>
          <w:szCs w:val="32"/>
          <w:lang w:val="en-US" w:eastAsia="zh-CN"/>
        </w:rPr>
      </w:pPr>
      <w:bookmarkStart w:id="2" w:name="OLE_LINK2"/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各学院学工办自行安排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_GB2312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七、活动内容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（一）、活动准备工作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_GB2312" w:hAnsi="黑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sz w:val="32"/>
          <w:szCs w:val="32"/>
          <w:lang w:val="en-US" w:eastAsia="zh-CN"/>
        </w:rPr>
        <w:t>1.各学院学工办相关负责人加入活动工作群聊916307407，如需演讲人员，及时联系。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  <w:lang w:val="en-US" w:eastAsia="zh-CN"/>
        </w:rPr>
        <w:t>2.做好前期活动宣传，提前确定好活动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场地，与演讲者做好沟通工作。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（二）、活动流程安排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活动开始前负责人提前到达活动地点清理活动场地；活动开始后负责人保证活动安全有序地进行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留存好记录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；活动结束后负责人安排参与人员安静有序的离场。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负责人提前到场、提前准备、做好相关事宜的准备。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2.注意参与活动人员的安全问题，维持活动的有序性。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3.本次活动最终解释权归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山东第二医科大学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大学生国防教育委员会所有。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九、活动负责人及联系方式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蒋大勇</w:t>
      </w:r>
      <w:bookmarkStart w:id="3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18853502359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葛显昊</w:t>
      </w:r>
      <w:bookmarkStart w:id="4" w:name="OLE_LINK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13912533790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李潇冉</w:t>
      </w:r>
      <w:bookmarkStart w:id="5" w:name="OLE_LINK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18104857151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  鑫19506528161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杨文峥15066053347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主办单位：学生工作处（武装部）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承办单位：山东第二医科大学各学院学工办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2024年5月4日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DIwZDI5NTExNjUwZGI3NGI4OTlmYzdjZDE5NjEifQ=="/>
  </w:docVars>
  <w:rsids>
    <w:rsidRoot w:val="3C5215C0"/>
    <w:rsid w:val="006641DD"/>
    <w:rsid w:val="050138DE"/>
    <w:rsid w:val="0B5638C8"/>
    <w:rsid w:val="1E5E512F"/>
    <w:rsid w:val="2CED1E43"/>
    <w:rsid w:val="3C5215C0"/>
    <w:rsid w:val="55A84C13"/>
    <w:rsid w:val="64C64337"/>
    <w:rsid w:val="6DBD3434"/>
    <w:rsid w:val="6E836C08"/>
    <w:rsid w:val="7807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UserStyle_2"/>
    <w:autoRedefine/>
    <w:qFormat/>
    <w:uiPriority w:val="0"/>
    <w:rPr>
      <w:rFonts w:ascii="Calibri" w:hAnsi="Calibri" w:eastAsia="宋体"/>
    </w:rPr>
  </w:style>
  <w:style w:type="paragraph" w:customStyle="1" w:styleId="5">
    <w:name w:val="列表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2024-04-07T03:26:00Z</dcterms:created>
  <dc:creator>Seven</dc:creator>
  <cp:lastModifiedBy>Seven</cp:lastModifiedBy>
  <dcterms:modified xsi:type="dcterms:W3CDTF">2024-04-09T07:25:45Z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32EABC1C09524CAFA213111FAC0AF3CE_11</vt:lpwstr>
  </property>
</Properties>
</file>